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CFA4" w14:textId="492FB50E" w:rsidR="000B507A" w:rsidRDefault="000B507A" w:rsidP="000B507A">
      <w:pPr>
        <w:tabs>
          <w:tab w:val="left" w:pos="6802"/>
        </w:tabs>
        <w:jc w:val="center"/>
        <w:rPr>
          <w:rFonts w:asciiTheme="minorBidi" w:hAnsiTheme="minorBidi" w:cstheme="minorBidi"/>
          <w:b/>
          <w:bCs/>
          <w:sz w:val="48"/>
          <w:szCs w:val="48"/>
        </w:rPr>
      </w:pPr>
      <w:r w:rsidRPr="000B507A">
        <w:rPr>
          <w:rFonts w:asciiTheme="minorBidi" w:hAnsiTheme="minorBidi" w:cstheme="minorBidi"/>
          <w:b/>
          <w:bCs/>
          <w:sz w:val="48"/>
          <w:szCs w:val="48"/>
        </w:rPr>
        <w:t xml:space="preserve">Malpractice and Maladministration Policy </w:t>
      </w:r>
    </w:p>
    <w:p w14:paraId="12C1FBE0" w14:textId="77777777" w:rsidR="000B507A" w:rsidRPr="000B507A" w:rsidRDefault="000B507A" w:rsidP="000B507A">
      <w:pPr>
        <w:tabs>
          <w:tab w:val="left" w:pos="6802"/>
        </w:tabs>
        <w:jc w:val="center"/>
        <w:rPr>
          <w:rFonts w:asciiTheme="minorBidi" w:hAnsiTheme="minorBidi" w:cstheme="minorBidi"/>
          <w:b/>
          <w:bCs/>
          <w:sz w:val="48"/>
          <w:szCs w:val="48"/>
        </w:rPr>
      </w:pPr>
    </w:p>
    <w:p w14:paraId="4D0B06BE" w14:textId="77777777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Purpose</w:t>
      </w:r>
    </w:p>
    <w:p w14:paraId="63342B10" w14:textId="773FEA2E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​This policy ensures that TQTI staff handle malpractice and maladministration cases consistently. It outlines the steps for reporting and investigating such cases and defines responsibilities for addressing them. ​</w:t>
      </w:r>
    </w:p>
    <w:p w14:paraId="6177A401" w14:textId="77777777" w:rsid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Centre Responsibility</w:t>
      </w:r>
    </w:p>
    <w:p w14:paraId="6364E970" w14:textId="4D7A2203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 xml:space="preserve"> ​ All staff involved in managing, assessing, and ensuring the quality of TQTI qualifications must understand this policy. ​ Measures should be in place to prevent and investigate malpractice and maladministration. ​</w:t>
      </w:r>
    </w:p>
    <w:p w14:paraId="49659394" w14:textId="77777777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Definition of Malpractice</w:t>
      </w:r>
    </w:p>
    <w:p w14:paraId="315C6BB8" w14:textId="09A06F8B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 xml:space="preserve"> Malpractice refers to deliberate actions or negligence that compromise assessment integrity, qualification validity, or the institution's reputation. ​ Examples include falsifying records, plagiarism, cheating, collusion, unauthorized use of materials, and fraudulent activities. ​</w:t>
      </w:r>
    </w:p>
    <w:p w14:paraId="796C899C" w14:textId="77777777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Definition of Maladministration</w:t>
      </w:r>
    </w:p>
    <w:p w14:paraId="419D3940" w14:textId="53E815FD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​Maladministration involves non-compliance with administrative regulations due to persistent mistakes or poor practices. ​ Examples include late registrations, inaccurate certification claims, misuse of logos, and withholding required information. ​</w:t>
      </w:r>
    </w:p>
    <w:p w14:paraId="7322472C" w14:textId="621D3850" w:rsid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0B8EE88D" w14:textId="77777777" w:rsidR="00DE4D79" w:rsidRDefault="00DE4D79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02A1CD9B" w14:textId="77777777" w:rsid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lastRenderedPageBreak/>
        <w:t>Reporting</w:t>
      </w:r>
      <w:r w:rsidRPr="000B507A">
        <w:rPr>
          <w:rFonts w:asciiTheme="minorBidi" w:hAnsiTheme="minorBidi" w:cstheme="minorBidi"/>
          <w:sz w:val="28"/>
          <w:szCs w:val="28"/>
        </w:rPr>
        <w:t xml:space="preserve"> </w:t>
      </w:r>
    </w:p>
    <w:p w14:paraId="51D9642B" w14:textId="77777777" w:rsidR="00DB23A6" w:rsidRDefault="000B507A" w:rsidP="00DB23A6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 xml:space="preserve">Suspected or actual malpractice/maladministration must be reported to the TQTI </w:t>
      </w:r>
      <w:r w:rsidR="00656A03">
        <w:rPr>
          <w:rFonts w:asciiTheme="minorBidi" w:hAnsiTheme="minorBidi" w:cstheme="minorBidi"/>
          <w:sz w:val="28"/>
          <w:szCs w:val="28"/>
        </w:rPr>
        <w:t xml:space="preserve">Manager </w:t>
      </w:r>
      <w:r w:rsidRPr="000B507A">
        <w:rPr>
          <w:rFonts w:asciiTheme="minorBidi" w:hAnsiTheme="minorBidi" w:cstheme="minorBidi"/>
          <w:sz w:val="28"/>
          <w:szCs w:val="28"/>
        </w:rPr>
        <w:t>immediately</w:t>
      </w:r>
      <w:r w:rsidR="00656A03">
        <w:rPr>
          <w:rFonts w:asciiTheme="minorBidi" w:hAnsiTheme="minorBidi" w:cstheme="minorBidi"/>
          <w:sz w:val="28"/>
          <w:szCs w:val="28"/>
        </w:rPr>
        <w:t xml:space="preserve"> on </w:t>
      </w:r>
      <w:r w:rsidR="00656A03" w:rsidRPr="00400A12">
        <w:rPr>
          <w:rFonts w:asciiTheme="minorBidi" w:hAnsiTheme="minorBidi" w:cstheme="minorBidi"/>
          <w:color w:val="EE0000"/>
          <w:sz w:val="28"/>
          <w:szCs w:val="28"/>
        </w:rPr>
        <w:t>Info@tqtoman.com</w:t>
      </w:r>
      <w:r w:rsidRPr="000B507A">
        <w:rPr>
          <w:rFonts w:asciiTheme="minorBidi" w:hAnsiTheme="minorBidi" w:cstheme="minorBidi"/>
          <w:sz w:val="28"/>
          <w:szCs w:val="28"/>
        </w:rPr>
        <w:t>, with written details and supporting evidence. ​ Reports should include specific details such as the nature of the issue, dates</w:t>
      </w:r>
      <w:r w:rsidR="00964C9A">
        <w:rPr>
          <w:rFonts w:asciiTheme="minorBidi" w:hAnsiTheme="minorBidi" w:cstheme="minorBidi"/>
          <w:sz w:val="28"/>
          <w:szCs w:val="28"/>
        </w:rPr>
        <w:t xml:space="preserve"> </w:t>
      </w:r>
      <w:r w:rsidRPr="000B507A">
        <w:rPr>
          <w:rFonts w:asciiTheme="minorBidi" w:hAnsiTheme="minorBidi" w:cstheme="minorBidi"/>
          <w:sz w:val="28"/>
          <w:szCs w:val="28"/>
        </w:rPr>
        <w:t>and personnel details.</w:t>
      </w:r>
      <w:r w:rsidR="00DB23A6">
        <w:rPr>
          <w:rFonts w:asciiTheme="minorBidi" w:hAnsiTheme="minorBidi" w:cstheme="minorBidi"/>
          <w:sz w:val="28"/>
          <w:szCs w:val="28"/>
        </w:rPr>
        <w:t xml:space="preserve"> </w:t>
      </w:r>
    </w:p>
    <w:p w14:paraId="4B9B3DD2" w14:textId="77777777" w:rsidR="00DB23A6" w:rsidRDefault="00DB23A6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DB23A6">
        <w:rPr>
          <w:rFonts w:asciiTheme="minorBidi" w:hAnsiTheme="minorBidi" w:cstheme="minorBidi"/>
          <w:b/>
          <w:bCs/>
          <w:color w:val="EE0000"/>
          <w:sz w:val="28"/>
          <w:szCs w:val="28"/>
        </w:rPr>
        <w:t>Note</w:t>
      </w:r>
      <w:r w:rsidRPr="00DB23A6">
        <w:rPr>
          <w:rFonts w:asciiTheme="minorBidi" w:hAnsiTheme="minorBidi" w:cstheme="minorBidi"/>
          <w:b/>
          <w:bCs/>
          <w:sz w:val="28"/>
          <w:szCs w:val="28"/>
        </w:rPr>
        <w:t>:</w:t>
      </w:r>
      <w:r w:rsidRPr="00DB23A6">
        <w:rPr>
          <w:rFonts w:asciiTheme="minorBidi" w:hAnsiTheme="minorBidi" w:cstheme="minorBidi"/>
          <w:sz w:val="28"/>
          <w:szCs w:val="28"/>
        </w:rPr>
        <w:t xml:space="preserve"> This procedure should be applied using the designated form: </w:t>
      </w:r>
    </w:p>
    <w:p w14:paraId="47AA2A0F" w14:textId="496F3D9B" w:rsidR="000B507A" w:rsidRPr="000B507A" w:rsidRDefault="00DB23A6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DB23A6">
        <w:rPr>
          <w:rFonts w:asciiTheme="minorBidi" w:hAnsiTheme="minorBidi" w:cstheme="minorBidi"/>
          <w:b/>
          <w:bCs/>
          <w:sz w:val="28"/>
          <w:szCs w:val="28"/>
        </w:rPr>
        <w:t>TQTI-HSE-FO-26 Malpractice Maladministration Report</w:t>
      </w:r>
    </w:p>
    <w:p w14:paraId="4E18B17D" w14:textId="77777777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Confidentiality</w:t>
      </w:r>
    </w:p>
    <w:p w14:paraId="661C6B2C" w14:textId="3FA8E9A8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Whistleblowers can remain anonymous, though revealing their identity is preferred. ​ TQTI will strive to maintain confidentiality but may disclose identities to authorities like the police, courts, or regulatory bodies if necessary. ​</w:t>
      </w:r>
    </w:p>
    <w:p w14:paraId="6EF2706F" w14:textId="77777777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Investigation Responsibility</w:t>
      </w:r>
    </w:p>
    <w:p w14:paraId="6B485C23" w14:textId="500DEC2D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The Centre Coordinator ensures investigations are conducted by competent staff with no personal interest in the outcome. ​ If allegations involve the coordinator, another senior staff member will oversee the investigation. ​</w:t>
      </w:r>
    </w:p>
    <w:p w14:paraId="6CD5BC6E" w14:textId="77777777" w:rsidR="00DE4513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Investigation Timelines and Process</w:t>
      </w:r>
    </w:p>
    <w:p w14:paraId="6D3D3F1B" w14:textId="70A45ECC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Investigations aim to be completed within 10 working days but may take longer if needed. ​ The process will be fair, unbiased, and confidential, focusing on establishing facts, identifying causes, and determining remedial actions. ​ All evidence will be securely stored for at least five years. ​</w:t>
      </w:r>
    </w:p>
    <w:p w14:paraId="4778B5DD" w14:textId="77777777" w:rsidR="00DE4513" w:rsidRDefault="00DE4513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0CB056BB" w14:textId="77777777" w:rsidR="00DB23A6" w:rsidRDefault="00DB23A6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1246E5F5" w14:textId="77777777" w:rsidR="00DE4513" w:rsidRDefault="00DE4513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2A3D43F8" w14:textId="7CE5ADBB" w:rsidR="00DE4513" w:rsidRPr="00DE4513" w:rsidRDefault="000B507A" w:rsidP="000B507A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lastRenderedPageBreak/>
        <w:t xml:space="preserve">Investigation Report ​ </w:t>
      </w:r>
    </w:p>
    <w:p w14:paraId="61AAD635" w14:textId="0DC7F4A8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If evidence implicates an individual, they will be informed of the allegations, evidence, and potential consequences. ​ A report will confirm the facts, identify responsible parties, and recommend remedial actions. ​ Internal cases will involve disciplinary procedures. ​</w:t>
      </w:r>
    </w:p>
    <w:p w14:paraId="26694585" w14:textId="77777777" w:rsidR="00DE4513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b/>
          <w:bCs/>
          <w:sz w:val="28"/>
          <w:szCs w:val="28"/>
        </w:rPr>
        <w:t>Investigation Outcome</w:t>
      </w:r>
      <w:r w:rsidRPr="000B507A">
        <w:rPr>
          <w:rFonts w:asciiTheme="minorBidi" w:hAnsiTheme="minorBidi" w:cstheme="minorBidi"/>
          <w:sz w:val="28"/>
          <w:szCs w:val="28"/>
        </w:rPr>
        <w:t xml:space="preserve"> ​</w:t>
      </w:r>
    </w:p>
    <w:p w14:paraId="71E8A291" w14:textId="2F9CBE42" w:rsidR="000B507A" w:rsidRPr="000B507A" w:rsidRDefault="000B507A" w:rsidP="000B507A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>If malpractice or maladministration is confirmed, TQTI will take steps to protect certification integrity, maintain public confidence, and prevent recurrence. ​ Invalid certificates will be recalled, and affected candidates will be informed. ​</w:t>
      </w:r>
    </w:p>
    <w:p w14:paraId="2A097DD2" w14:textId="030F78FA" w:rsidR="00DE4D79" w:rsidRPr="007B72FA" w:rsidRDefault="000B507A" w:rsidP="008A206C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  <w:r w:rsidRPr="000B507A">
        <w:rPr>
          <w:rFonts w:asciiTheme="minorBidi" w:hAnsiTheme="minorBidi" w:cstheme="minorBidi"/>
          <w:sz w:val="28"/>
          <w:szCs w:val="28"/>
        </w:rPr>
        <w:t xml:space="preserve">Communication, Training, and Continuous Improvement: ​ The policy will be communicated to all employees and students and </w:t>
      </w:r>
      <w:r w:rsidR="00DE4513" w:rsidRPr="000B507A">
        <w:rPr>
          <w:rFonts w:asciiTheme="minorBidi" w:hAnsiTheme="minorBidi" w:cstheme="minorBidi"/>
          <w:sz w:val="28"/>
          <w:szCs w:val="28"/>
        </w:rPr>
        <w:t>will be included</w:t>
      </w:r>
      <w:r w:rsidRPr="000B507A">
        <w:rPr>
          <w:rFonts w:asciiTheme="minorBidi" w:hAnsiTheme="minorBidi" w:cstheme="minorBidi"/>
          <w:sz w:val="28"/>
          <w:szCs w:val="28"/>
        </w:rPr>
        <w:t xml:space="preserve"> in new employee training. ​ Annual reviews and updates will be part of employees' Continuous Professional Development (CPD). ​</w:t>
      </w:r>
    </w:p>
    <w:p w14:paraId="501460B3" w14:textId="77777777" w:rsidR="00DE4D79" w:rsidRDefault="00DE4D79" w:rsidP="008A206C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6852230F" w14:textId="77777777" w:rsidR="00DE4D79" w:rsidRDefault="00DE4D79" w:rsidP="008A206C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0485E77C" w14:textId="5987EB11" w:rsidR="00DE4D79" w:rsidRPr="00D5719B" w:rsidRDefault="00DE4D79" w:rsidP="00C31BFC">
      <w:pPr>
        <w:tabs>
          <w:tab w:val="left" w:pos="6802"/>
        </w:tabs>
      </w:pPr>
      <w:r w:rsidRPr="00D5719B">
        <w:t xml:space="preserve">                                                                    </w:t>
      </w:r>
      <w:r w:rsidR="00C31BFC">
        <w:rPr>
          <w:noProof/>
        </w:rPr>
        <w:drawing>
          <wp:inline distT="0" distB="0" distL="0" distR="0" wp14:anchorId="4E51C504" wp14:editId="31FFFC20">
            <wp:extent cx="1127760" cy="646430"/>
            <wp:effectExtent l="0" t="0" r="0" b="1270"/>
            <wp:docPr id="5250789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0E3D7E" w14:textId="79D7FBAF" w:rsidR="00DE4D79" w:rsidRPr="00D5719B" w:rsidRDefault="007B72FA" w:rsidP="00DE4D79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  <w:r w:rsidR="00DE4D79" w:rsidRPr="00D5719B">
        <w:rPr>
          <w:b/>
          <w:bCs/>
        </w:rPr>
        <w:t>Dr. Sam</w:t>
      </w:r>
      <w:r w:rsidR="00AA0B50">
        <w:rPr>
          <w:b/>
          <w:bCs/>
        </w:rPr>
        <w:t>i</w:t>
      </w:r>
      <w:r w:rsidR="00DE4D79" w:rsidRPr="00D5719B">
        <w:rPr>
          <w:b/>
          <w:bCs/>
        </w:rPr>
        <w:t>r Al Bahrani</w:t>
      </w:r>
    </w:p>
    <w:p w14:paraId="5D59BC26" w14:textId="6E966ED7" w:rsidR="00DE4D79" w:rsidRPr="00FB5A7D" w:rsidRDefault="00DE4D79" w:rsidP="00DE4D79">
      <w:pPr>
        <w:tabs>
          <w:tab w:val="left" w:pos="6802"/>
        </w:tabs>
        <w:rPr>
          <w:b/>
          <w:bCs/>
        </w:rPr>
      </w:pPr>
      <w:r w:rsidRPr="00D5719B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D5719B">
        <w:rPr>
          <w:b/>
          <w:bCs/>
        </w:rPr>
        <w:t xml:space="preserve">June </w:t>
      </w:r>
      <w:r>
        <w:rPr>
          <w:b/>
          <w:bCs/>
        </w:rPr>
        <w:t>/ 2026</w:t>
      </w:r>
    </w:p>
    <w:p w14:paraId="5693F28B" w14:textId="38F00F55" w:rsidR="00DE4D79" w:rsidRPr="00FB5A7D" w:rsidRDefault="00DE4D79" w:rsidP="00DE4D79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 w:rsidR="00D5719B"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p w14:paraId="586A63DD" w14:textId="77777777" w:rsidR="00DE4D79" w:rsidRDefault="00DE4D79" w:rsidP="008A206C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</w:p>
    <w:p w14:paraId="4483812C" w14:textId="56E36635" w:rsidR="00FF0338" w:rsidRPr="00B86F33" w:rsidRDefault="00FF0338" w:rsidP="008A206C">
      <w:pPr>
        <w:tabs>
          <w:tab w:val="left" w:pos="6802"/>
        </w:tabs>
        <w:rPr>
          <w:rFonts w:asciiTheme="minorBidi" w:hAnsiTheme="minorBidi" w:cstheme="minorBidi"/>
          <w:sz w:val="28"/>
          <w:szCs w:val="28"/>
        </w:rPr>
      </w:pPr>
    </w:p>
    <w:sectPr w:rsidR="00FF0338" w:rsidRPr="00B86F33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3D4A0" w14:textId="77777777" w:rsidR="0054150D" w:rsidRDefault="0054150D" w:rsidP="002C7D37">
      <w:pPr>
        <w:spacing w:after="0" w:line="240" w:lineRule="auto"/>
      </w:pPr>
      <w:r>
        <w:separator/>
      </w:r>
    </w:p>
  </w:endnote>
  <w:endnote w:type="continuationSeparator" w:id="0">
    <w:p w14:paraId="327E8BE1" w14:textId="77777777" w:rsidR="0054150D" w:rsidRDefault="0054150D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B93BC" w14:textId="77777777" w:rsidR="007B72FA" w:rsidRDefault="007B72FA">
    <w:pPr>
      <w:pStyle w:val="Footer"/>
      <w:rPr>
        <w:noProof/>
      </w:rPr>
    </w:pPr>
  </w:p>
  <w:p w14:paraId="6CDAAF55" w14:textId="6BFDA02E" w:rsidR="007B72FA" w:rsidRDefault="007B72FA">
    <w:pPr>
      <w:pStyle w:val="Foot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93700" wp14:editId="0DB20FA9">
          <wp:simplePos x="0" y="0"/>
          <wp:positionH relativeFrom="page">
            <wp:posOffset>19185</wp:posOffset>
          </wp:positionH>
          <wp:positionV relativeFrom="paragraph">
            <wp:posOffset>187325</wp:posOffset>
          </wp:positionV>
          <wp:extent cx="7759700" cy="617855"/>
          <wp:effectExtent l="0" t="0" r="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0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D5719B">
      <w:rPr>
        <w:b/>
        <w:bCs/>
      </w:rPr>
      <w:t>TQTI-HSE-PO-09</w:t>
    </w:r>
    <w:r w:rsidRPr="00D5719B">
      <w:t xml:space="preserve">                                       </w:t>
    </w:r>
  </w:p>
  <w:p w14:paraId="3E222C9F" w14:textId="77777777" w:rsidR="007B72FA" w:rsidRDefault="007B72FA">
    <w:pPr>
      <w:pStyle w:val="Footer"/>
      <w:rPr>
        <w:noProof/>
      </w:rPr>
    </w:pPr>
  </w:p>
  <w:p w14:paraId="3819FD3F" w14:textId="77777777" w:rsidR="007B72FA" w:rsidRDefault="007B72FA">
    <w:pPr>
      <w:pStyle w:val="Footer"/>
      <w:rPr>
        <w:noProof/>
      </w:rPr>
    </w:pPr>
  </w:p>
  <w:p w14:paraId="3E71AEFF" w14:textId="1979AD64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CA7B" w14:textId="77777777" w:rsidR="0054150D" w:rsidRDefault="0054150D" w:rsidP="002C7D37">
      <w:pPr>
        <w:spacing w:after="0" w:line="240" w:lineRule="auto"/>
      </w:pPr>
      <w:r>
        <w:separator/>
      </w:r>
    </w:p>
  </w:footnote>
  <w:footnote w:type="continuationSeparator" w:id="0">
    <w:p w14:paraId="753D05A2" w14:textId="77777777" w:rsidR="0054150D" w:rsidRDefault="0054150D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60C2A618" w:rsidR="002C7D37" w:rsidRDefault="00C31BFC">
    <w:pPr>
      <w:pStyle w:val="Header"/>
      <w:rPr>
        <w:noProof/>
        <w:lang w:val="en-IN"/>
      </w:rPr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0" locked="0" layoutInCell="1" allowOverlap="1" wp14:anchorId="68E36B02" wp14:editId="74C5577A">
          <wp:simplePos x="0" y="0"/>
          <wp:positionH relativeFrom="margin">
            <wp:align>center</wp:align>
          </wp:positionH>
          <wp:positionV relativeFrom="paragraph">
            <wp:posOffset>56368</wp:posOffset>
          </wp:positionV>
          <wp:extent cx="7668000" cy="1074894"/>
          <wp:effectExtent l="0" t="0" r="0" b="0"/>
          <wp:wrapNone/>
          <wp:docPr id="1932883878" name="Picture 1932883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r="485" b="90177"/>
                  <a:stretch>
                    <a:fillRect/>
                  </a:stretch>
                </pic:blipFill>
                <pic:spPr bwMode="auto">
                  <a:xfrm>
                    <a:off x="0" y="0"/>
                    <a:ext cx="7668000" cy="10748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6B4088" w14:textId="4F292E3C" w:rsidR="00C31BFC" w:rsidRDefault="00C31BFC">
    <w:pPr>
      <w:pStyle w:val="Header"/>
      <w:rPr>
        <w:noProof/>
        <w:lang w:val="en-IN"/>
      </w:rPr>
    </w:pPr>
  </w:p>
  <w:p w14:paraId="27C6A2D2" w14:textId="77777777" w:rsidR="00C31BFC" w:rsidRDefault="00C31BFC">
    <w:pPr>
      <w:pStyle w:val="Header"/>
      <w:rPr>
        <w:noProof/>
        <w:lang w:val="en-IN"/>
      </w:rPr>
    </w:pPr>
  </w:p>
  <w:p w14:paraId="4A689C5F" w14:textId="652C33AB" w:rsidR="00C31BFC" w:rsidRDefault="00C31BFC">
    <w:pPr>
      <w:pStyle w:val="Header"/>
      <w:rPr>
        <w:noProof/>
        <w:lang w:val="en-IN"/>
      </w:rPr>
    </w:pPr>
  </w:p>
  <w:p w14:paraId="0392533C" w14:textId="1F75C468" w:rsidR="00C31BFC" w:rsidRDefault="00C31BFC">
    <w:pPr>
      <w:pStyle w:val="Header"/>
      <w:rPr>
        <w:noProof/>
        <w:lang w:val="en-IN"/>
      </w:rPr>
    </w:pPr>
  </w:p>
  <w:p w14:paraId="6C7A0653" w14:textId="5FAA6FD2" w:rsidR="00C31BFC" w:rsidRDefault="00C31BFC">
    <w:pPr>
      <w:pStyle w:val="Header"/>
      <w:rPr>
        <w:noProof/>
        <w:lang w:val="en-IN"/>
      </w:rPr>
    </w:pPr>
  </w:p>
  <w:p w14:paraId="726F0642" w14:textId="77777777" w:rsidR="00C31BFC" w:rsidRDefault="00C31BFC">
    <w:pPr>
      <w:pStyle w:val="Header"/>
      <w:rPr>
        <w:noProof/>
        <w:lang w:val="en-IN"/>
      </w:rPr>
    </w:pPr>
  </w:p>
  <w:p w14:paraId="1E9A914A" w14:textId="59A9C3A0" w:rsidR="00C31BFC" w:rsidRPr="00C31BFC" w:rsidRDefault="00C31BFC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1"/>
  </w:num>
  <w:num w:numId="2" w16cid:durableId="1841971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2E2"/>
    <w:rsid w:val="00007678"/>
    <w:rsid w:val="00055300"/>
    <w:rsid w:val="000601D6"/>
    <w:rsid w:val="000B507A"/>
    <w:rsid w:val="00165D31"/>
    <w:rsid w:val="00182F67"/>
    <w:rsid w:val="001F2EC7"/>
    <w:rsid w:val="0020658F"/>
    <w:rsid w:val="0026243F"/>
    <w:rsid w:val="00295464"/>
    <w:rsid w:val="002A2C9D"/>
    <w:rsid w:val="002C7D37"/>
    <w:rsid w:val="003310FF"/>
    <w:rsid w:val="00345F11"/>
    <w:rsid w:val="003E2CDC"/>
    <w:rsid w:val="00400A12"/>
    <w:rsid w:val="0043711F"/>
    <w:rsid w:val="0054150D"/>
    <w:rsid w:val="005839AD"/>
    <w:rsid w:val="005B16A0"/>
    <w:rsid w:val="005D6C5C"/>
    <w:rsid w:val="00656A03"/>
    <w:rsid w:val="00757FF7"/>
    <w:rsid w:val="007B72FA"/>
    <w:rsid w:val="00805722"/>
    <w:rsid w:val="008A206C"/>
    <w:rsid w:val="008B2832"/>
    <w:rsid w:val="008C6456"/>
    <w:rsid w:val="00957F1C"/>
    <w:rsid w:val="00964C9A"/>
    <w:rsid w:val="00997A3C"/>
    <w:rsid w:val="009D1B76"/>
    <w:rsid w:val="00A16900"/>
    <w:rsid w:val="00A55FA5"/>
    <w:rsid w:val="00A86331"/>
    <w:rsid w:val="00AA0B50"/>
    <w:rsid w:val="00B23BB8"/>
    <w:rsid w:val="00B86F33"/>
    <w:rsid w:val="00BA422F"/>
    <w:rsid w:val="00BE105D"/>
    <w:rsid w:val="00C14E9D"/>
    <w:rsid w:val="00C31BFC"/>
    <w:rsid w:val="00C374BF"/>
    <w:rsid w:val="00C82CB9"/>
    <w:rsid w:val="00CD5056"/>
    <w:rsid w:val="00D45BD1"/>
    <w:rsid w:val="00D5719B"/>
    <w:rsid w:val="00D801CD"/>
    <w:rsid w:val="00D95656"/>
    <w:rsid w:val="00DB23A6"/>
    <w:rsid w:val="00DB2802"/>
    <w:rsid w:val="00DE2279"/>
    <w:rsid w:val="00DE4513"/>
    <w:rsid w:val="00DE4D79"/>
    <w:rsid w:val="00EC4853"/>
    <w:rsid w:val="00EF5000"/>
    <w:rsid w:val="00FA71FE"/>
    <w:rsid w:val="00FB5A7D"/>
    <w:rsid w:val="00FC2584"/>
    <w:rsid w:val="00FE7F1C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rmalWeb">
    <w:name w:val="Normal (Web)"/>
    <w:basedOn w:val="Normal"/>
    <w:uiPriority w:val="99"/>
    <w:semiHidden/>
    <w:unhideWhenUsed/>
    <w:rsid w:val="00DB23A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LENOVO</cp:lastModifiedBy>
  <cp:revision>53</cp:revision>
  <cp:lastPrinted>2025-03-28T10:06:00Z</cp:lastPrinted>
  <dcterms:created xsi:type="dcterms:W3CDTF">2025-03-28T10:03:00Z</dcterms:created>
  <dcterms:modified xsi:type="dcterms:W3CDTF">2025-08-27T07:34:00Z</dcterms:modified>
</cp:coreProperties>
</file>